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AEF7DC" w14:textId="77777777" w:rsidR="00F351A5" w:rsidRPr="00400C05" w:rsidRDefault="00F351A5" w:rsidP="00F351A5">
      <w:pPr>
        <w:pStyle w:val="Titel"/>
      </w:pPr>
      <w:r>
        <w:rPr>
          <w:noProof/>
        </w:rPr>
        <mc:AlternateContent>
          <mc:Choice Requires="wps">
            <w:drawing>
              <wp:anchor distT="0" distB="0" distL="114300" distR="114300" simplePos="0" relativeHeight="251659264" behindDoc="1" locked="0" layoutInCell="1" allowOverlap="1" wp14:anchorId="3D703FDE" wp14:editId="164EF79A">
                <wp:simplePos x="0" y="0"/>
                <wp:positionH relativeFrom="column">
                  <wp:posOffset>-476250</wp:posOffset>
                </wp:positionH>
                <wp:positionV relativeFrom="paragraph">
                  <wp:posOffset>-341630</wp:posOffset>
                </wp:positionV>
                <wp:extent cx="723900" cy="723900"/>
                <wp:effectExtent l="0" t="0" r="0" b="0"/>
                <wp:wrapNone/>
                <wp:docPr id="14" name="Ellipse 14"/>
                <wp:cNvGraphicFramePr/>
                <a:graphic xmlns:a="http://schemas.openxmlformats.org/drawingml/2006/main">
                  <a:graphicData uri="http://schemas.microsoft.com/office/word/2010/wordprocessingShape">
                    <wps:wsp>
                      <wps:cNvSpPr/>
                      <wps:spPr>
                        <a:xfrm>
                          <a:off x="0" y="0"/>
                          <a:ext cx="723900" cy="723900"/>
                        </a:xfrm>
                        <a:prstGeom prst="ellipse">
                          <a:avLst/>
                        </a:prstGeom>
                        <a:solidFill>
                          <a:srgbClr val="A587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78CFEF" id="Ellipse 14" o:spid="_x0000_s1026" style="position:absolute;margin-left:-37.5pt;margin-top:-26.9pt;width:57pt;height:5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LplAIAAIcFAAAOAAAAZHJzL2Uyb0RvYy54bWysVMFu2zAMvQ/YPwi6r3aydG2DOEXQrsOA&#10;oi3WDj0rshQLkEVNUuJkXz9Ksp2uK3YYloNDieQj+URycblvNdkJ5xWYik5OSkqE4VArs6no96eb&#10;D+eU+MBMzTQYUdGD8PRy+f7dorNzMYUGdC0cQRDj552taBOCnReF541omT8BKwwqJbiWBTy6TVE7&#10;1iF6q4tpWX4qOnC1dcCF93h7nZV0mfClFDzcS+lFILqimFtIX5e+6/gtlgs23zhmG8X7NNg/ZNEy&#10;ZTDoCHXNAiNbp/6AahV34EGGEw5tAVIqLlINWM2kfFXNY8OsSLUgOd6ONPn/B8vvdg+OqBrfbkaJ&#10;YS2+0WetlfWC4A3S01k/R6tH++D6k0cx1rqXro3/WAXZJ0oPI6ViHwjHy7Ppx4sSieeo6mVEKY7O&#10;1vnwRUBLolBRkWMnLtnu1odsPVjFcB60qm+U1ungNusr7ciO4QOvTs/Pzq9j0hjgNzNtorGB6JbV&#10;8aaIteVqkhQOWkQ7bb4JiaRg/tOUSWpHMcZhnAsTJlnVsFrk8Kcl/obosYGjR8olAUZkifFH7B5g&#10;sMwgA3bOsrePriJ18+hc/i2x7Dx6pMhgwujcKgPuLQCNVfWRs/1AUqYmsrSG+oAt4yDPkrf8RuHT&#10;3TIfHpjD4cHXxoUQ7vEjNXQVhV6ipAH38637aI89jVpKOhzGivofW+YEJfqrwW6/mMxmcXrTYXZ6&#10;NsWDe6lZv9SYbXsF2A4TXD2WJzHaBz2I0kH7jHtjFaOiihmOsSvKgxsOVyEvCdw8XKxWyQwn1rJw&#10;ax4tj+CR1diXT/tn5mzfvwEb/w6GwWXzVz2cbaOngdU2gFSpwY+89nzjtKfG6TdTXCcvz8nquD+X&#10;vwAAAP//AwBQSwMEFAAGAAgAAAAhAPcq/oHhAAAACQEAAA8AAABkcnMvZG93bnJldi54bWxMj81O&#10;wzAQhO9IvIO1SFxQ69CqBUKcClXiR6o40Eac3XiJQ+J1FDtp4OlZTnDb3RnNfpNtJteKEftQe1Jw&#10;PU9AIJXe1FQpKA6Ps1sQIWoyuvWECr4wwCY/P8t0avyJ3nDcx0pwCIVUK7AxdqmUobTodJj7Dom1&#10;D987HXntK2l6feJw18pFkqyl0zXxB6s73Fosm/3gFFTvV8VTYYfDS7kbnxv3Gb+b7atSlxfTwz2I&#10;iFP8M8MvPqNDzkxHP5AJolUwu1lxl8jDaskd2LG848NRwTpZgMwz+b9B/gMAAP//AwBQSwECLQAU&#10;AAYACAAAACEAtoM4kv4AAADhAQAAEwAAAAAAAAAAAAAAAAAAAAAAW0NvbnRlbnRfVHlwZXNdLnht&#10;bFBLAQItABQABgAIAAAAIQA4/SH/1gAAAJQBAAALAAAAAAAAAAAAAAAAAC8BAABfcmVscy8ucmVs&#10;c1BLAQItABQABgAIAAAAIQAubpLplAIAAIcFAAAOAAAAAAAAAAAAAAAAAC4CAABkcnMvZTJvRG9j&#10;LnhtbFBLAQItABQABgAIAAAAIQD3Kv6B4QAAAAkBAAAPAAAAAAAAAAAAAAAAAO4EAABkcnMvZG93&#10;bnJldi54bWxQSwUGAAAAAAQABADzAAAA/AUAAAAA&#10;" fillcolor="#a5878d" stroked="f" strokeweight="1pt">
                <v:stroke joinstyle="miter"/>
              </v:oval>
            </w:pict>
          </mc:Fallback>
        </mc:AlternateContent>
      </w:r>
      <w:r w:rsidRPr="00400C05">
        <w:t>Führungs- und Organisationskonzept</w:t>
      </w:r>
    </w:p>
    <w:p w14:paraId="72677E26" w14:textId="77777777" w:rsidR="00F351A5" w:rsidRPr="0042786E" w:rsidRDefault="00F351A5" w:rsidP="00F351A5">
      <w:pPr>
        <w:pStyle w:val="berschrift1"/>
      </w:pPr>
      <w:bookmarkStart w:id="1" w:name="_Toc63152023"/>
      <w:r w:rsidRPr="0042786E">
        <w:t>Auftrag und Leitbild der Organisation</w:t>
      </w:r>
      <w:bookmarkEnd w:id="1"/>
    </w:p>
    <w:p w14:paraId="075F5FBC" w14:textId="77777777" w:rsidR="00F351A5" w:rsidRPr="0042786E" w:rsidRDefault="00F351A5" w:rsidP="00F351A5">
      <w:pPr>
        <w:rPr>
          <w:noProof/>
          <w:szCs w:val="18"/>
        </w:rPr>
      </w:pPr>
      <w:r w:rsidRPr="0042786E">
        <w:rPr>
          <w:noProof/>
          <w:szCs w:val="18"/>
        </w:rPr>
        <w:t xml:space="preserve">Der Auftrag von </w:t>
      </w:r>
      <w:r>
        <w:rPr>
          <w:noProof/>
          <w:szCs w:val="18"/>
        </w:rPr>
        <w:t>Wohnenbern</w:t>
      </w:r>
      <w:r w:rsidRPr="0042786E">
        <w:rPr>
          <w:noProof/>
          <w:szCs w:val="18"/>
        </w:rPr>
        <w:t xml:space="preserve"> bildet den Ausgangspunkt für die Ableitung sämtlicher Ziele im Rahmen der strategischen Planung sowie die Basis für die Identifikation und Motivation der Mitarbeitenden. Er spiegelt die eigentliche Identität und das Selbstverständnis von </w:t>
      </w:r>
      <w:r>
        <w:rPr>
          <w:noProof/>
          <w:szCs w:val="18"/>
        </w:rPr>
        <w:t>Wohnenbern</w:t>
      </w:r>
      <w:r w:rsidRPr="0042786E">
        <w:rPr>
          <w:noProof/>
          <w:szCs w:val="18"/>
        </w:rPr>
        <w:t xml:space="preserve"> wider und lenkt das strategische und operative Managementhandeln in die gewünschte Richtung, indem alle nachfolgenden Ziele und Strategien auf den spezifischen Auftrag ausgerichtet werden. </w:t>
      </w:r>
    </w:p>
    <w:p w14:paraId="70E8605F" w14:textId="77777777" w:rsidR="00F351A5" w:rsidRPr="0042786E" w:rsidRDefault="00F351A5" w:rsidP="00F351A5">
      <w:pPr>
        <w:pStyle w:val="Untertitel"/>
        <w:rPr>
          <w:noProof/>
        </w:rPr>
      </w:pPr>
      <w:r w:rsidRPr="0042786E">
        <w:rPr>
          <w:noProof/>
        </w:rPr>
        <w:t xml:space="preserve">Auftrag </w:t>
      </w:r>
      <w:r>
        <w:rPr>
          <w:noProof/>
        </w:rPr>
        <w:t>Wohnenbern</w:t>
      </w:r>
    </w:p>
    <w:p w14:paraId="1DC61BBE" w14:textId="77777777" w:rsidR="00F351A5" w:rsidRPr="0042786E" w:rsidRDefault="00F351A5" w:rsidP="00F351A5">
      <w:pPr>
        <w:rPr>
          <w:noProof/>
          <w:szCs w:val="18"/>
        </w:rPr>
      </w:pPr>
      <w:r>
        <w:rPr>
          <w:noProof/>
          <w:szCs w:val="18"/>
        </w:rPr>
        <w:t>Wohnenbern</w:t>
      </w:r>
      <w:r w:rsidRPr="0042786E">
        <w:rPr>
          <w:noProof/>
          <w:szCs w:val="18"/>
        </w:rPr>
        <w:t xml:space="preserve"> bietet volljährigen Menschen, die von Obdachlosigkeit betroffen oder bedroht sind, Wohnraum und professionelle Wohnbegleitung zum Erhalt und zur Wiederherstellung der Wohn-fähigkeit an und unterstützt sie in ihrer aktiven Teilhabe und Inklusion in der Gesellschaft. </w:t>
      </w:r>
      <w:r>
        <w:rPr>
          <w:noProof/>
          <w:szCs w:val="18"/>
        </w:rPr>
        <w:t>Wohnenbern</w:t>
      </w:r>
      <w:r w:rsidRPr="0042786E">
        <w:rPr>
          <w:noProof/>
          <w:szCs w:val="18"/>
        </w:rPr>
        <w:t xml:space="preserve"> fordert keine Abstinenzpflicht in all seinen Wohnstrukturen.</w:t>
      </w:r>
    </w:p>
    <w:p w14:paraId="54230BFC" w14:textId="77777777" w:rsidR="00F351A5" w:rsidRPr="0042786E" w:rsidRDefault="00F351A5" w:rsidP="00F351A5">
      <w:pPr>
        <w:pStyle w:val="Untertitel"/>
        <w:rPr>
          <w:noProof/>
        </w:rPr>
      </w:pPr>
      <w:r w:rsidRPr="0042786E">
        <w:rPr>
          <w:noProof/>
        </w:rPr>
        <w:t xml:space="preserve">Leitbild </w:t>
      </w:r>
      <w:r>
        <w:rPr>
          <w:noProof/>
        </w:rPr>
        <w:t>Wohnenbern</w:t>
      </w:r>
    </w:p>
    <w:p w14:paraId="5F8F92B8" w14:textId="77777777" w:rsidR="00F351A5" w:rsidRPr="0042786E" w:rsidRDefault="00F351A5" w:rsidP="00F351A5">
      <w:pPr>
        <w:rPr>
          <w:noProof/>
          <w:szCs w:val="18"/>
        </w:rPr>
      </w:pPr>
      <w:r w:rsidRPr="0042786E">
        <w:rPr>
          <w:noProof/>
          <w:szCs w:val="18"/>
        </w:rPr>
        <w:t xml:space="preserve">Der Auftrag und das Leitbild von </w:t>
      </w:r>
      <w:r>
        <w:rPr>
          <w:noProof/>
          <w:szCs w:val="18"/>
        </w:rPr>
        <w:t>Wohnenbern</w:t>
      </w:r>
      <w:r w:rsidRPr="0042786E">
        <w:rPr>
          <w:noProof/>
          <w:szCs w:val="18"/>
        </w:rPr>
        <w:t xml:space="preserve"> bilden das strategische Dach der Unternehmensplanung. </w:t>
      </w:r>
      <w:r>
        <w:rPr>
          <w:noProof/>
          <w:szCs w:val="18"/>
        </w:rPr>
        <w:t>Wohnenbern</w:t>
      </w:r>
      <w:r w:rsidRPr="0042786E">
        <w:rPr>
          <w:noProof/>
          <w:szCs w:val="18"/>
        </w:rPr>
        <w:t xml:space="preserve"> hat </w:t>
      </w:r>
      <w:r>
        <w:rPr>
          <w:noProof/>
          <w:szCs w:val="18"/>
        </w:rPr>
        <w:t>seinen</w:t>
      </w:r>
      <w:r w:rsidRPr="0042786E">
        <w:rPr>
          <w:noProof/>
          <w:szCs w:val="18"/>
        </w:rPr>
        <w:t xml:space="preserve"> Auftrag in einem </w:t>
      </w:r>
      <w:r w:rsidRPr="0042786E">
        <w:rPr>
          <w:i/>
          <w:noProof/>
          <w:szCs w:val="18"/>
        </w:rPr>
        <w:t>strategischen Leitbild</w:t>
      </w:r>
      <w:r w:rsidRPr="0042786E">
        <w:rPr>
          <w:noProof/>
          <w:szCs w:val="18"/>
        </w:rPr>
        <w:t xml:space="preserve"> weiter ausformuliert und konkretisiert.  </w:t>
      </w:r>
    </w:p>
    <w:p w14:paraId="21FC8452" w14:textId="77777777" w:rsidR="00F351A5" w:rsidRPr="007200AF" w:rsidRDefault="00F351A5" w:rsidP="00F351A5">
      <w:pPr>
        <w:pStyle w:val="Untertitel"/>
      </w:pPr>
      <w:r w:rsidRPr="007200AF">
        <w:t>Dimension Kundinnen und Kunden</w:t>
      </w:r>
    </w:p>
    <w:p w14:paraId="6F6D11B5"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stellen sicher, dass unsere Kundinnen und Kunden ihre maximale Wahl-, Gestaltungs- und Kontrollmöglichkeiten für das eigene Leben beibehalten</w:t>
      </w:r>
      <w:r>
        <w:rPr>
          <w:szCs w:val="18"/>
        </w:rPr>
        <w:t>, soweit dies möglich ist</w:t>
      </w:r>
      <w:r w:rsidRPr="0042786E">
        <w:rPr>
          <w:szCs w:val="18"/>
        </w:rPr>
        <w:t xml:space="preserve">. </w:t>
      </w:r>
    </w:p>
    <w:p w14:paraId="464D3760"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unterstützen unsere Kundinnen und Kunden beim Entwickeln und Realisieren von vielfältigen, selbstgewählten Wohn- und Lebensmöglichkeiten.</w:t>
      </w:r>
    </w:p>
    <w:p w14:paraId="1B524A00"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befähigen unsere Kundinnen und Kunden bei der Vernetzung und Ressourcennutzung im Sozialraum.</w:t>
      </w:r>
    </w:p>
    <w:p w14:paraId="3EED9999"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begleiten unsere Kundinnen und Kunden bedarfs- und willensorientiert beim Wohnen, der Inklusion oder bei anderen Alltagsthemen.</w:t>
      </w:r>
    </w:p>
    <w:p w14:paraId="3C2A53E1"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 xml:space="preserve">Wir </w:t>
      </w:r>
      <w:r>
        <w:rPr>
          <w:szCs w:val="18"/>
        </w:rPr>
        <w:t>sind achtsam, dass</w:t>
      </w:r>
      <w:r w:rsidRPr="0042786E">
        <w:rPr>
          <w:szCs w:val="18"/>
        </w:rPr>
        <w:t xml:space="preserve"> unseren Kundinnen und Kunden vor Selbst- und Fremdgefährdung</w:t>
      </w:r>
      <w:r>
        <w:rPr>
          <w:szCs w:val="18"/>
        </w:rPr>
        <w:t xml:space="preserve"> geschützt werden</w:t>
      </w:r>
      <w:r w:rsidRPr="0042786E">
        <w:rPr>
          <w:szCs w:val="18"/>
        </w:rPr>
        <w:t>.</w:t>
      </w:r>
    </w:p>
    <w:p w14:paraId="3EE0BBA6"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vermitteln und „übersetzen“ zwischen unseren Kundinnen und Kunden und ihrem Umfeld, der Gesellschaft, zu Normen und Werten.</w:t>
      </w:r>
    </w:p>
    <w:p w14:paraId="4E8BB222" w14:textId="77777777" w:rsidR="00F351A5" w:rsidRPr="0042786E" w:rsidRDefault="00F351A5" w:rsidP="00F351A5">
      <w:pPr>
        <w:pStyle w:val="Untertitel"/>
      </w:pPr>
      <w:r w:rsidRPr="0042786E">
        <w:t>Dimension Mitarbeitende</w:t>
      </w:r>
    </w:p>
    <w:p w14:paraId="603DB298"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handeln in einem klar hergeleiteten, verbindlichen und transparent kommunizierten Handlungsrahmen, insbesondere in Bezug auf Auftrag, Konzept, Richtlinien und gesetzliche Grundlagen.</w:t>
      </w:r>
    </w:p>
    <w:p w14:paraId="39F94ECE"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setzen die personenzentrierte Haltung konsequent um.</w:t>
      </w:r>
    </w:p>
    <w:p w14:paraId="2C5109A8"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verpflichten uns zu einer neutralen und respektvollen Haltung und nehmen keine Bewertung von Willen und Gefühlen des Gegenübers vor.</w:t>
      </w:r>
    </w:p>
    <w:p w14:paraId="3BEC3D2F"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tragen die Verantwortung für die Prozesssteuerung und die Beziehungsgestaltung mit unseren Kundinnen und Kunden.</w:t>
      </w:r>
    </w:p>
    <w:p w14:paraId="70F41507"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 xml:space="preserve">Wir sind kompetent im Gestalten, Steuern, Reflektieren und Dokumentieren von individuellen, </w:t>
      </w:r>
      <w:r w:rsidRPr="0042786E">
        <w:rPr>
          <w:szCs w:val="18"/>
        </w:rPr>
        <w:lastRenderedPageBreak/>
        <w:t>willens- und bedarfsorientierten Prozessen und Settings.</w:t>
      </w:r>
    </w:p>
    <w:p w14:paraId="5ED7AF64"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 xml:space="preserve">Wir arbeiten methodisch vielfältig, flexibel, bedarfsorientiert und dynamisch. </w:t>
      </w:r>
    </w:p>
    <w:p w14:paraId="1370874B" w14:textId="77777777" w:rsidR="00F351A5" w:rsidRPr="007200AF"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bieten attraktive und konkurrenzfähige Arbeitsbedingungen.</w:t>
      </w:r>
    </w:p>
    <w:p w14:paraId="5F02F44D" w14:textId="77777777" w:rsidR="00F351A5" w:rsidRPr="007200AF" w:rsidRDefault="00F351A5" w:rsidP="00F351A5">
      <w:pPr>
        <w:pStyle w:val="Untertitel"/>
        <w:rPr>
          <w:noProof/>
        </w:rPr>
      </w:pPr>
      <w:r w:rsidRPr="0042786E">
        <w:rPr>
          <w:noProof/>
        </w:rPr>
        <w:t>Dimension Partner und Politik</w:t>
      </w:r>
    </w:p>
    <w:p w14:paraId="0F6326AF"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 xml:space="preserve">Wir sind ein verlässlicher und kompetenter Partner. </w:t>
      </w:r>
    </w:p>
    <w:p w14:paraId="69CFD2F3"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 xml:space="preserve">Wir vernetzen uns im Sozialraum mit anderen (sozialen) Anbietern und mit dem Hilfesystem. Wir suchen, wenn immer möglich, Lösungen im Verbund mit Partnern und nutzen Synergien. </w:t>
      </w:r>
    </w:p>
    <w:p w14:paraId="64DCAA23" w14:textId="77777777" w:rsidR="00F351A5" w:rsidRPr="007200AF"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stehen ein für Inklusion und Teilhabe an der Gesellschaft. Wir setzen uns für jene Menschen ein, die aufgrund einer körperlichen</w:t>
      </w:r>
      <w:r>
        <w:rPr>
          <w:szCs w:val="18"/>
        </w:rPr>
        <w:t xml:space="preserve">, </w:t>
      </w:r>
      <w:r w:rsidRPr="0042786E">
        <w:rPr>
          <w:szCs w:val="18"/>
        </w:rPr>
        <w:t xml:space="preserve">psychischen </w:t>
      </w:r>
      <w:r>
        <w:rPr>
          <w:szCs w:val="18"/>
        </w:rPr>
        <w:t xml:space="preserve">oder sozialen </w:t>
      </w:r>
      <w:r w:rsidRPr="0042786E">
        <w:rPr>
          <w:szCs w:val="18"/>
        </w:rPr>
        <w:t>Einschränkung nicht oder nur eingeschränkt an der Gesellschaft teilhaben können.</w:t>
      </w:r>
    </w:p>
    <w:p w14:paraId="0077F635" w14:textId="77777777" w:rsidR="00F351A5" w:rsidRPr="0042786E" w:rsidRDefault="00F351A5" w:rsidP="00F351A5">
      <w:pPr>
        <w:pStyle w:val="Untertitel"/>
        <w:rPr>
          <w:noProof/>
        </w:rPr>
      </w:pPr>
      <w:r w:rsidRPr="0042786E">
        <w:rPr>
          <w:noProof/>
        </w:rPr>
        <w:t>Dimension Finanzen und Nachhaltigkeit (Corporate Social Responsability CSR)</w:t>
      </w:r>
    </w:p>
    <w:p w14:paraId="152CFB8A"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 xml:space="preserve">Wir gehen umsichtig und nachhaltig mit finanziellen und personellen Ressourcen um. </w:t>
      </w:r>
    </w:p>
    <w:p w14:paraId="79BA9E05"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 xml:space="preserve">Wir suchen nach alternativen Finanzierungsmöglichkeiten, wenn immer dies möglich ist. </w:t>
      </w:r>
    </w:p>
    <w:p w14:paraId="074D16B3"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 xml:space="preserve">Wir erbringen unsere Dienstleistungen wirtschaftlich. </w:t>
      </w:r>
    </w:p>
    <w:p w14:paraId="336C8A0D" w14:textId="77777777" w:rsidR="00F351A5" w:rsidRPr="0042786E"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bieten den Mitarbeitenden Entwicklungsmöglichkeiten und Perspektiven, die ihrem Potenzial entsprechen.</w:t>
      </w:r>
    </w:p>
    <w:p w14:paraId="65F8D0F7" w14:textId="77777777" w:rsidR="00F351A5" w:rsidRDefault="00F351A5" w:rsidP="00F351A5">
      <w:pPr>
        <w:pStyle w:val="Listenabsatz"/>
        <w:framePr w:hSpace="0" w:wrap="auto" w:vAnchor="margin" w:hAnchor="text" w:xAlign="left" w:yAlign="inline"/>
        <w:widowControl w:val="0"/>
        <w:numPr>
          <w:ilvl w:val="0"/>
          <w:numId w:val="3"/>
        </w:numPr>
        <w:spacing w:before="0" w:after="120"/>
        <w:ind w:left="284" w:hanging="284"/>
        <w:jc w:val="both"/>
        <w:rPr>
          <w:szCs w:val="18"/>
        </w:rPr>
      </w:pPr>
      <w:r w:rsidRPr="0042786E">
        <w:rPr>
          <w:szCs w:val="18"/>
        </w:rPr>
        <w:t>Wir sind innovativ und richten das Angebot flexibel auch auf den sich verändernden Bedarf der potentiellen Kundinnen und Kunden und der Gesellschaft aus.</w:t>
      </w:r>
    </w:p>
    <w:p w14:paraId="15756F12" w14:textId="77777777" w:rsidR="000F51B6" w:rsidRDefault="00F351A5" w:rsidP="00F351A5">
      <w:r>
        <w:rPr>
          <w:noProof/>
          <w:szCs w:val="18"/>
        </w:rPr>
        <w:drawing>
          <wp:anchor distT="0" distB="0" distL="114300" distR="114300" simplePos="0" relativeHeight="251660288" behindDoc="0" locked="0" layoutInCell="1" allowOverlap="1" wp14:anchorId="6E7D869D" wp14:editId="60A233AA">
            <wp:simplePos x="0" y="0"/>
            <wp:positionH relativeFrom="margin">
              <wp:align>center</wp:align>
            </wp:positionH>
            <wp:positionV relativeFrom="paragraph">
              <wp:posOffset>595069</wp:posOffset>
            </wp:positionV>
            <wp:extent cx="7102283" cy="4771505"/>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5" cstate="print">
                      <a:extLst>
                        <a:ext uri="{28A0092B-C50C-407E-A947-70E740481C1C}">
                          <a14:useLocalDpi xmlns:a14="http://schemas.microsoft.com/office/drawing/2010/main" val="0"/>
                        </a:ext>
                      </a:extLst>
                    </a:blip>
                    <a:srcRect l="4045" t="5941" r="4461" b="7144"/>
                    <a:stretch/>
                  </pic:blipFill>
                  <pic:spPr bwMode="auto">
                    <a:xfrm>
                      <a:off x="0" y="0"/>
                      <a:ext cx="7102283" cy="477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F51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3D7"/>
    <w:multiLevelType w:val="multilevel"/>
    <w:tmpl w:val="BC1AB386"/>
    <w:lvl w:ilvl="0">
      <w:start w:val="1"/>
      <w:numFmt w:val="decimal"/>
      <w:pStyle w:val="berschrift1"/>
      <w:lvlText w:val="%1"/>
      <w:lvlJc w:val="left"/>
      <w:pPr>
        <w:ind w:left="432" w:hanging="432"/>
      </w:pPr>
    </w:lvl>
    <w:lvl w:ilvl="1">
      <w:start w:val="1"/>
      <w:numFmt w:val="decimal"/>
      <w:pStyle w:val="berschrift2"/>
      <w:lvlText w:val="%1.%2"/>
      <w:lvlJc w:val="left"/>
      <w:pPr>
        <w:ind w:left="860" w:hanging="576"/>
      </w:pPr>
    </w:lvl>
    <w:lvl w:ilvl="2">
      <w:start w:val="1"/>
      <w:numFmt w:val="decimal"/>
      <w:pStyle w:val="berschrift3"/>
      <w:lvlText w:val="%1.%2.%3"/>
      <w:lvlJc w:val="left"/>
      <w:pPr>
        <w:ind w:left="9651"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9E7445"/>
    <w:multiLevelType w:val="hybridMultilevel"/>
    <w:tmpl w:val="A4943114"/>
    <w:lvl w:ilvl="0" w:tplc="2C5888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38178E0"/>
    <w:multiLevelType w:val="hybridMultilevel"/>
    <w:tmpl w:val="54C44A5C"/>
    <w:lvl w:ilvl="0" w:tplc="5E5A0A60">
      <w:start w:val="1"/>
      <w:numFmt w:val="bullet"/>
      <w:pStyle w:val="Listenabsatz"/>
      <w:lvlText w:val=""/>
      <w:lvlJc w:val="left"/>
      <w:pPr>
        <w:ind w:left="464" w:hanging="360"/>
      </w:pPr>
      <w:rPr>
        <w:rFonts w:ascii="Symbol" w:hAnsi="Symbol" w:hint="default"/>
      </w:rPr>
    </w:lvl>
    <w:lvl w:ilvl="1" w:tplc="08070003">
      <w:start w:val="1"/>
      <w:numFmt w:val="bullet"/>
      <w:lvlText w:val="o"/>
      <w:lvlJc w:val="left"/>
      <w:pPr>
        <w:ind w:left="1184" w:hanging="360"/>
      </w:pPr>
      <w:rPr>
        <w:rFonts w:ascii="Courier New" w:hAnsi="Courier New" w:cs="Courier New" w:hint="default"/>
      </w:rPr>
    </w:lvl>
    <w:lvl w:ilvl="2" w:tplc="08070005" w:tentative="1">
      <w:start w:val="1"/>
      <w:numFmt w:val="bullet"/>
      <w:lvlText w:val=""/>
      <w:lvlJc w:val="left"/>
      <w:pPr>
        <w:ind w:left="1904" w:hanging="360"/>
      </w:pPr>
      <w:rPr>
        <w:rFonts w:ascii="Wingdings" w:hAnsi="Wingdings" w:hint="default"/>
      </w:rPr>
    </w:lvl>
    <w:lvl w:ilvl="3" w:tplc="08070001" w:tentative="1">
      <w:start w:val="1"/>
      <w:numFmt w:val="bullet"/>
      <w:lvlText w:val=""/>
      <w:lvlJc w:val="left"/>
      <w:pPr>
        <w:ind w:left="2624" w:hanging="360"/>
      </w:pPr>
      <w:rPr>
        <w:rFonts w:ascii="Symbol" w:hAnsi="Symbol" w:hint="default"/>
      </w:rPr>
    </w:lvl>
    <w:lvl w:ilvl="4" w:tplc="08070003" w:tentative="1">
      <w:start w:val="1"/>
      <w:numFmt w:val="bullet"/>
      <w:lvlText w:val="o"/>
      <w:lvlJc w:val="left"/>
      <w:pPr>
        <w:ind w:left="3344" w:hanging="360"/>
      </w:pPr>
      <w:rPr>
        <w:rFonts w:ascii="Courier New" w:hAnsi="Courier New" w:cs="Courier New" w:hint="default"/>
      </w:rPr>
    </w:lvl>
    <w:lvl w:ilvl="5" w:tplc="08070005" w:tentative="1">
      <w:start w:val="1"/>
      <w:numFmt w:val="bullet"/>
      <w:lvlText w:val=""/>
      <w:lvlJc w:val="left"/>
      <w:pPr>
        <w:ind w:left="4064" w:hanging="360"/>
      </w:pPr>
      <w:rPr>
        <w:rFonts w:ascii="Wingdings" w:hAnsi="Wingdings" w:hint="default"/>
      </w:rPr>
    </w:lvl>
    <w:lvl w:ilvl="6" w:tplc="08070001" w:tentative="1">
      <w:start w:val="1"/>
      <w:numFmt w:val="bullet"/>
      <w:lvlText w:val=""/>
      <w:lvlJc w:val="left"/>
      <w:pPr>
        <w:ind w:left="4784" w:hanging="360"/>
      </w:pPr>
      <w:rPr>
        <w:rFonts w:ascii="Symbol" w:hAnsi="Symbol" w:hint="default"/>
      </w:rPr>
    </w:lvl>
    <w:lvl w:ilvl="7" w:tplc="08070003" w:tentative="1">
      <w:start w:val="1"/>
      <w:numFmt w:val="bullet"/>
      <w:lvlText w:val="o"/>
      <w:lvlJc w:val="left"/>
      <w:pPr>
        <w:ind w:left="5504" w:hanging="360"/>
      </w:pPr>
      <w:rPr>
        <w:rFonts w:ascii="Courier New" w:hAnsi="Courier New" w:cs="Courier New" w:hint="default"/>
      </w:rPr>
    </w:lvl>
    <w:lvl w:ilvl="8" w:tplc="08070005" w:tentative="1">
      <w:start w:val="1"/>
      <w:numFmt w:val="bullet"/>
      <w:lvlText w:val=""/>
      <w:lvlJc w:val="left"/>
      <w:pPr>
        <w:ind w:left="622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A5"/>
    <w:rsid w:val="000F51B6"/>
    <w:rsid w:val="00547204"/>
    <w:rsid w:val="00F351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72CE"/>
  <w15:chartTrackingRefBased/>
  <w15:docId w15:val="{94FC7731-D83A-423C-B1CA-E94079CB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P Standard"/>
    <w:qFormat/>
    <w:rsid w:val="00F351A5"/>
    <w:pPr>
      <w:spacing w:after="0" w:line="240" w:lineRule="auto"/>
    </w:pPr>
    <w:rPr>
      <w:rFonts w:eastAsia="MS ??" w:cs="Times New Roman"/>
      <w:bCs/>
      <w:szCs w:val="20"/>
      <w:lang w:eastAsia="de-CH"/>
    </w:rPr>
  </w:style>
  <w:style w:type="paragraph" w:styleId="berschrift1">
    <w:name w:val="heading 1"/>
    <w:aliases w:val="SP Titel 1"/>
    <w:basedOn w:val="Standard"/>
    <w:next w:val="Standard"/>
    <w:link w:val="berschrift1Zchn"/>
    <w:autoRedefine/>
    <w:uiPriority w:val="9"/>
    <w:qFormat/>
    <w:rsid w:val="00F351A5"/>
    <w:pPr>
      <w:numPr>
        <w:numId w:val="1"/>
      </w:numPr>
      <w:spacing w:before="240" w:after="120"/>
      <w:outlineLvl w:val="0"/>
    </w:pPr>
    <w:rPr>
      <w:rFonts w:eastAsia="Times New Roman" w:cs="Arial"/>
      <w:b/>
      <w:bCs w:val="0"/>
      <w:color w:val="000000"/>
      <w:szCs w:val="18"/>
    </w:rPr>
  </w:style>
  <w:style w:type="paragraph" w:styleId="berschrift2">
    <w:name w:val="heading 2"/>
    <w:aliases w:val="SP Titel 2"/>
    <w:basedOn w:val="Standard"/>
    <w:next w:val="Standard"/>
    <w:link w:val="berschrift2Zchn"/>
    <w:autoRedefine/>
    <w:uiPriority w:val="9"/>
    <w:unhideWhenUsed/>
    <w:qFormat/>
    <w:rsid w:val="00F351A5"/>
    <w:pPr>
      <w:keepNext/>
      <w:keepLines/>
      <w:numPr>
        <w:ilvl w:val="1"/>
        <w:numId w:val="1"/>
      </w:numPr>
      <w:spacing w:before="240" w:after="120" w:line="290" w:lineRule="atLeast"/>
      <w:ind w:left="862" w:hanging="578"/>
      <w:outlineLvl w:val="1"/>
    </w:pPr>
    <w:rPr>
      <w:rFonts w:eastAsiaTheme="majorEastAsia" w:cstheme="majorBidi"/>
      <w:b/>
      <w:szCs w:val="18"/>
    </w:rPr>
  </w:style>
  <w:style w:type="paragraph" w:styleId="berschrift3">
    <w:name w:val="heading 3"/>
    <w:aliases w:val="SP Titel 3"/>
    <w:basedOn w:val="Standard"/>
    <w:next w:val="Standard"/>
    <w:link w:val="berschrift3Zchn"/>
    <w:autoRedefine/>
    <w:uiPriority w:val="9"/>
    <w:unhideWhenUsed/>
    <w:qFormat/>
    <w:rsid w:val="00F351A5"/>
    <w:pPr>
      <w:keepNext/>
      <w:keepLines/>
      <w:numPr>
        <w:ilvl w:val="2"/>
        <w:numId w:val="1"/>
      </w:numPr>
      <w:spacing w:before="240" w:after="120" w:line="290" w:lineRule="atLeast"/>
      <w:ind w:left="850"/>
      <w:outlineLvl w:val="2"/>
    </w:pPr>
    <w:rPr>
      <w:rFonts w:eastAsiaTheme="majorEastAsia" w:cstheme="majorBidi"/>
      <w:b/>
      <w:bCs w:val="0"/>
      <w:color w:val="000000" w:themeColor="text1"/>
      <w:szCs w:val="18"/>
      <w:shd w:val="clear" w:color="auto" w:fill="FFFFFF"/>
      <w:lang w:eastAsia="en-US"/>
    </w:rPr>
  </w:style>
  <w:style w:type="paragraph" w:styleId="berschrift5">
    <w:name w:val="heading 5"/>
    <w:aliases w:val="SP Titel 4"/>
    <w:basedOn w:val="Standard"/>
    <w:next w:val="Standard"/>
    <w:link w:val="berschrift5Zchn"/>
    <w:autoRedefine/>
    <w:uiPriority w:val="9"/>
    <w:unhideWhenUsed/>
    <w:qFormat/>
    <w:rsid w:val="00F351A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351A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351A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351A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351A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P Titel 1 Zchn"/>
    <w:basedOn w:val="Absatz-Standardschriftart"/>
    <w:link w:val="berschrift1"/>
    <w:uiPriority w:val="9"/>
    <w:rsid w:val="00F351A5"/>
    <w:rPr>
      <w:rFonts w:eastAsia="Times New Roman" w:cs="Arial"/>
      <w:b/>
      <w:color w:val="000000"/>
      <w:szCs w:val="18"/>
      <w:lang w:eastAsia="de-CH"/>
    </w:rPr>
  </w:style>
  <w:style w:type="character" w:customStyle="1" w:styleId="berschrift2Zchn">
    <w:name w:val="Überschrift 2 Zchn"/>
    <w:aliases w:val="SP Titel 2 Zchn"/>
    <w:basedOn w:val="Absatz-Standardschriftart"/>
    <w:link w:val="berschrift2"/>
    <w:uiPriority w:val="9"/>
    <w:rsid w:val="00F351A5"/>
    <w:rPr>
      <w:rFonts w:eastAsiaTheme="majorEastAsia" w:cstheme="majorBidi"/>
      <w:b/>
      <w:bCs/>
      <w:szCs w:val="18"/>
      <w:lang w:eastAsia="de-CH"/>
    </w:rPr>
  </w:style>
  <w:style w:type="character" w:customStyle="1" w:styleId="berschrift3Zchn">
    <w:name w:val="Überschrift 3 Zchn"/>
    <w:aliases w:val="SP Titel 3 Zchn"/>
    <w:basedOn w:val="Absatz-Standardschriftart"/>
    <w:link w:val="berschrift3"/>
    <w:uiPriority w:val="9"/>
    <w:rsid w:val="00F351A5"/>
    <w:rPr>
      <w:rFonts w:eastAsiaTheme="majorEastAsia" w:cstheme="majorBidi"/>
      <w:b/>
      <w:color w:val="000000" w:themeColor="text1"/>
      <w:szCs w:val="18"/>
    </w:rPr>
  </w:style>
  <w:style w:type="character" w:customStyle="1" w:styleId="berschrift5Zchn">
    <w:name w:val="Überschrift 5 Zchn"/>
    <w:aliases w:val="SP Titel 4 Zchn"/>
    <w:basedOn w:val="Absatz-Standardschriftart"/>
    <w:link w:val="berschrift5"/>
    <w:uiPriority w:val="9"/>
    <w:rsid w:val="00F351A5"/>
    <w:rPr>
      <w:rFonts w:asciiTheme="majorHAnsi" w:eastAsiaTheme="majorEastAsia" w:hAnsiTheme="majorHAnsi" w:cstheme="majorBidi"/>
      <w:bCs/>
      <w:color w:val="2F5496" w:themeColor="accent1" w:themeShade="BF"/>
      <w:szCs w:val="20"/>
      <w:lang w:eastAsia="de-CH"/>
    </w:rPr>
  </w:style>
  <w:style w:type="character" w:customStyle="1" w:styleId="berschrift6Zchn">
    <w:name w:val="Überschrift 6 Zchn"/>
    <w:basedOn w:val="Absatz-Standardschriftart"/>
    <w:link w:val="berschrift6"/>
    <w:uiPriority w:val="9"/>
    <w:semiHidden/>
    <w:rsid w:val="00F351A5"/>
    <w:rPr>
      <w:rFonts w:asciiTheme="majorHAnsi" w:eastAsiaTheme="majorEastAsia" w:hAnsiTheme="majorHAnsi" w:cstheme="majorBidi"/>
      <w:bCs/>
      <w:color w:val="1F3763" w:themeColor="accent1" w:themeShade="7F"/>
      <w:szCs w:val="20"/>
      <w:lang w:eastAsia="de-CH"/>
    </w:rPr>
  </w:style>
  <w:style w:type="character" w:customStyle="1" w:styleId="berschrift7Zchn">
    <w:name w:val="Überschrift 7 Zchn"/>
    <w:basedOn w:val="Absatz-Standardschriftart"/>
    <w:link w:val="berschrift7"/>
    <w:uiPriority w:val="9"/>
    <w:semiHidden/>
    <w:rsid w:val="00F351A5"/>
    <w:rPr>
      <w:rFonts w:asciiTheme="majorHAnsi" w:eastAsiaTheme="majorEastAsia" w:hAnsiTheme="majorHAnsi" w:cstheme="majorBidi"/>
      <w:bCs/>
      <w:i/>
      <w:iCs/>
      <w:color w:val="1F3763" w:themeColor="accent1" w:themeShade="7F"/>
      <w:szCs w:val="20"/>
      <w:lang w:eastAsia="de-CH"/>
    </w:rPr>
  </w:style>
  <w:style w:type="character" w:customStyle="1" w:styleId="berschrift8Zchn">
    <w:name w:val="Überschrift 8 Zchn"/>
    <w:basedOn w:val="Absatz-Standardschriftart"/>
    <w:link w:val="berschrift8"/>
    <w:uiPriority w:val="9"/>
    <w:semiHidden/>
    <w:rsid w:val="00F351A5"/>
    <w:rPr>
      <w:rFonts w:asciiTheme="majorHAnsi" w:eastAsiaTheme="majorEastAsia" w:hAnsiTheme="majorHAnsi" w:cstheme="majorBidi"/>
      <w:bCs/>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F351A5"/>
    <w:rPr>
      <w:rFonts w:asciiTheme="majorHAnsi" w:eastAsiaTheme="majorEastAsia" w:hAnsiTheme="majorHAnsi" w:cstheme="majorBidi"/>
      <w:bCs/>
      <w:i/>
      <w:iCs/>
      <w:color w:val="272727" w:themeColor="text1" w:themeTint="D8"/>
      <w:sz w:val="21"/>
      <w:szCs w:val="21"/>
      <w:lang w:eastAsia="de-CH"/>
    </w:rPr>
  </w:style>
  <w:style w:type="paragraph" w:styleId="Listenabsatz">
    <w:name w:val="List Paragraph"/>
    <w:basedOn w:val="Standard"/>
    <w:autoRedefine/>
    <w:uiPriority w:val="34"/>
    <w:qFormat/>
    <w:rsid w:val="00F351A5"/>
    <w:pPr>
      <w:framePr w:hSpace="141" w:wrap="around" w:vAnchor="page" w:hAnchor="page" w:x="1182" w:y="2471"/>
      <w:numPr>
        <w:numId w:val="2"/>
      </w:numPr>
      <w:spacing w:before="60"/>
    </w:pPr>
  </w:style>
  <w:style w:type="paragraph" w:styleId="Titel">
    <w:name w:val="Title"/>
    <w:basedOn w:val="Standard"/>
    <w:next w:val="Standard"/>
    <w:link w:val="TitelZchn"/>
    <w:uiPriority w:val="10"/>
    <w:qFormat/>
    <w:rsid w:val="00F351A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351A5"/>
    <w:rPr>
      <w:rFonts w:asciiTheme="majorHAnsi" w:eastAsiaTheme="majorEastAsia" w:hAnsiTheme="majorHAnsi" w:cstheme="majorBidi"/>
      <w:bCs/>
      <w:spacing w:val="-10"/>
      <w:kern w:val="28"/>
      <w:sz w:val="56"/>
      <w:szCs w:val="56"/>
      <w:lang w:eastAsia="de-CH"/>
    </w:rPr>
  </w:style>
  <w:style w:type="paragraph" w:styleId="Untertitel">
    <w:name w:val="Subtitle"/>
    <w:basedOn w:val="Standard"/>
    <w:next w:val="Standard"/>
    <w:link w:val="UntertitelZchn"/>
    <w:uiPriority w:val="11"/>
    <w:qFormat/>
    <w:rsid w:val="00F351A5"/>
    <w:pPr>
      <w:numPr>
        <w:ilvl w:val="1"/>
      </w:numPr>
      <w:spacing w:before="240" w:after="160"/>
    </w:pPr>
    <w:rPr>
      <w:rFonts w:eastAsiaTheme="minorEastAsia" w:cstheme="minorBidi"/>
      <w:b/>
      <w:szCs w:val="22"/>
    </w:rPr>
  </w:style>
  <w:style w:type="character" w:customStyle="1" w:styleId="UntertitelZchn">
    <w:name w:val="Untertitel Zchn"/>
    <w:basedOn w:val="Absatz-Standardschriftart"/>
    <w:link w:val="Untertitel"/>
    <w:uiPriority w:val="11"/>
    <w:rsid w:val="00F351A5"/>
    <w:rPr>
      <w:rFonts w:eastAsiaTheme="minorEastAsia"/>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Hofmann</dc:creator>
  <cp:keywords/>
  <dc:description/>
  <cp:lastModifiedBy>Michael Kirschner</cp:lastModifiedBy>
  <cp:revision>2</cp:revision>
  <dcterms:created xsi:type="dcterms:W3CDTF">2021-02-24T17:32:00Z</dcterms:created>
  <dcterms:modified xsi:type="dcterms:W3CDTF">2021-02-24T17:32:00Z</dcterms:modified>
</cp:coreProperties>
</file>